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9F773" w14:textId="77777777" w:rsidR="00050C14" w:rsidRDefault="00050C14">
      <w:pPr>
        <w:pStyle w:val="Corpotesto"/>
        <w:rPr>
          <w:sz w:val="20"/>
        </w:rPr>
      </w:pPr>
    </w:p>
    <w:p w14:paraId="3386C9F3" w14:textId="77777777" w:rsidR="00050C14" w:rsidRDefault="001A0926">
      <w:pPr>
        <w:pStyle w:val="Titolo1"/>
        <w:spacing w:before="223"/>
        <w:rPr>
          <w:rFonts w:ascii="Arial" w:hAnsi="Arial"/>
        </w:rPr>
      </w:pPr>
      <w:r>
        <w:rPr>
          <w:rFonts w:ascii="Arial" w:hAnsi="Arial"/>
        </w:rPr>
        <w:t xml:space="preserve">INFORMATIVA Coronavirus – SARS- Cov-2 </w:t>
      </w:r>
      <w:proofErr w:type="spellStart"/>
      <w:r>
        <w:rPr>
          <w:rFonts w:ascii="Arial" w:hAnsi="Arial"/>
        </w:rPr>
        <w:t>IgG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IgM</w:t>
      </w:r>
      <w:proofErr w:type="spellEnd"/>
      <w:r>
        <w:rPr>
          <w:rFonts w:ascii="Arial" w:hAnsi="Arial"/>
        </w:rPr>
        <w:t>.</w:t>
      </w:r>
    </w:p>
    <w:p w14:paraId="54FE3A94" w14:textId="77777777" w:rsidR="00050C14" w:rsidRDefault="00050C14">
      <w:pPr>
        <w:spacing w:before="1"/>
        <w:rPr>
          <w:b/>
          <w:sz w:val="24"/>
        </w:rPr>
      </w:pPr>
    </w:p>
    <w:p w14:paraId="381A2EA9" w14:textId="77777777" w:rsidR="00050C14" w:rsidRDefault="001A0926">
      <w:pPr>
        <w:spacing w:before="1"/>
        <w:ind w:left="272"/>
        <w:jc w:val="both"/>
        <w:rPr>
          <w:b/>
          <w:sz w:val="20"/>
        </w:rPr>
      </w:pPr>
      <w:r>
        <w:rPr>
          <w:b/>
          <w:sz w:val="20"/>
        </w:rPr>
        <w:t>Caratteristiche del patogeno</w:t>
      </w:r>
    </w:p>
    <w:p w14:paraId="5F7CDCA3" w14:textId="77777777" w:rsidR="00050C14" w:rsidRDefault="001A0926">
      <w:pPr>
        <w:spacing w:before="6"/>
        <w:ind w:left="272" w:right="107"/>
        <w:jc w:val="both"/>
        <w:rPr>
          <w:sz w:val="20"/>
        </w:rPr>
      </w:pPr>
      <w:r>
        <w:rPr>
          <w:sz w:val="20"/>
        </w:rPr>
        <w:t xml:space="preserve">Il SARS-CoV-2 (Coronavirus 2 della SARS) è l’agente eziologico del COVID-19 (Corona Virus </w:t>
      </w:r>
      <w:proofErr w:type="spellStart"/>
      <w:r>
        <w:rPr>
          <w:sz w:val="20"/>
        </w:rPr>
        <w:t>Disease</w:t>
      </w:r>
      <w:proofErr w:type="spellEnd"/>
      <w:r>
        <w:rPr>
          <w:sz w:val="20"/>
        </w:rPr>
        <w:t>- 2019).</w:t>
      </w:r>
    </w:p>
    <w:p w14:paraId="542951D9" w14:textId="77777777" w:rsidR="00050C14" w:rsidRDefault="00050C14">
      <w:pPr>
        <w:spacing w:before="5"/>
        <w:rPr>
          <w:sz w:val="19"/>
        </w:rPr>
      </w:pPr>
    </w:p>
    <w:p w14:paraId="5035DC9B" w14:textId="77777777" w:rsidR="00050C14" w:rsidRDefault="001A0926">
      <w:pPr>
        <w:ind w:left="272"/>
        <w:jc w:val="both"/>
        <w:rPr>
          <w:b/>
          <w:sz w:val="20"/>
        </w:rPr>
      </w:pPr>
      <w:r>
        <w:rPr>
          <w:b/>
          <w:sz w:val="20"/>
        </w:rPr>
        <w:t>Caratteristiche del Test</w:t>
      </w:r>
    </w:p>
    <w:p w14:paraId="3D5CF9EE" w14:textId="77777777" w:rsidR="00050C14" w:rsidRDefault="00050C14">
      <w:pPr>
        <w:rPr>
          <w:b/>
          <w:sz w:val="20"/>
        </w:rPr>
      </w:pPr>
    </w:p>
    <w:p w14:paraId="32ECEE36" w14:textId="77777777" w:rsidR="00050C14" w:rsidRDefault="001A0926">
      <w:pPr>
        <w:pStyle w:val="Paragrafoelenco"/>
        <w:numPr>
          <w:ilvl w:val="0"/>
          <w:numId w:val="2"/>
        </w:numPr>
        <w:tabs>
          <w:tab w:val="left" w:pos="441"/>
        </w:tabs>
        <w:spacing w:line="242" w:lineRule="auto"/>
        <w:ind w:right="113" w:firstLine="0"/>
        <w:jc w:val="both"/>
        <w:rPr>
          <w:sz w:val="20"/>
        </w:rPr>
      </w:pPr>
      <w:r>
        <w:rPr>
          <w:sz w:val="20"/>
        </w:rPr>
        <w:t>Il Test Sierologico (il “</w:t>
      </w:r>
      <w:r>
        <w:rPr>
          <w:b/>
          <w:sz w:val="20"/>
        </w:rPr>
        <w:t>Test</w:t>
      </w:r>
      <w:r>
        <w:rPr>
          <w:sz w:val="20"/>
        </w:rPr>
        <w:t xml:space="preserve">”) NON SOSTITUISCE la ricerca dell’RNA virale con tecnica molecolare (da tampone </w:t>
      </w:r>
      <w:proofErr w:type="spellStart"/>
      <w:r>
        <w:rPr>
          <w:sz w:val="20"/>
        </w:rPr>
        <w:t>rino</w:t>
      </w:r>
      <w:proofErr w:type="spellEnd"/>
      <w:r>
        <w:rPr>
          <w:sz w:val="20"/>
        </w:rPr>
        <w:t xml:space="preserve">-faringeo) che, per il momento, è l’unico definitivamente diagnostico, </w:t>
      </w:r>
      <w:r>
        <w:rPr>
          <w:spacing w:val="-4"/>
          <w:sz w:val="20"/>
        </w:rPr>
        <w:t xml:space="preserve">come </w:t>
      </w:r>
      <w:r>
        <w:rPr>
          <w:sz w:val="20"/>
        </w:rPr>
        <w:t>da Circolare Ministeriale n.0016106 del 09/05/2020 e successive modifiche, che specifica che il test è utile nella valutazione epidemiologica della circolazione del</w:t>
      </w:r>
      <w:r>
        <w:rPr>
          <w:spacing w:val="-2"/>
          <w:sz w:val="20"/>
        </w:rPr>
        <w:t xml:space="preserve"> </w:t>
      </w:r>
      <w:r>
        <w:rPr>
          <w:sz w:val="20"/>
        </w:rPr>
        <w:t>virus.</w:t>
      </w:r>
    </w:p>
    <w:p w14:paraId="467B63C9" w14:textId="77777777" w:rsidR="00050C14" w:rsidRDefault="00050C14">
      <w:pPr>
        <w:spacing w:before="9"/>
        <w:rPr>
          <w:sz w:val="19"/>
        </w:rPr>
      </w:pPr>
    </w:p>
    <w:p w14:paraId="06AFEB84" w14:textId="77777777" w:rsidR="00050C14" w:rsidRDefault="001A0926">
      <w:pPr>
        <w:pStyle w:val="Paragrafoelenco"/>
        <w:numPr>
          <w:ilvl w:val="0"/>
          <w:numId w:val="2"/>
        </w:numPr>
        <w:tabs>
          <w:tab w:val="left" w:pos="501"/>
        </w:tabs>
        <w:ind w:right="116" w:firstLine="0"/>
        <w:jc w:val="both"/>
        <w:rPr>
          <w:sz w:val="20"/>
        </w:rPr>
      </w:pPr>
      <w:r>
        <w:rPr>
          <w:sz w:val="20"/>
        </w:rPr>
        <w:t xml:space="preserve">Il Test è concepito per rilevare, la presenza di anticorpi </w:t>
      </w:r>
      <w:proofErr w:type="spellStart"/>
      <w:r>
        <w:rPr>
          <w:sz w:val="20"/>
        </w:rPr>
        <w:t>IgG</w:t>
      </w:r>
      <w:proofErr w:type="spellEnd"/>
      <w:r>
        <w:rPr>
          <w:sz w:val="20"/>
        </w:rPr>
        <w:t xml:space="preserve">/ anticorpi </w:t>
      </w:r>
      <w:proofErr w:type="spellStart"/>
      <w:r>
        <w:rPr>
          <w:sz w:val="20"/>
        </w:rPr>
        <w:t>IgM</w:t>
      </w:r>
      <w:proofErr w:type="spellEnd"/>
      <w:r>
        <w:rPr>
          <w:sz w:val="20"/>
        </w:rPr>
        <w:t xml:space="preserve"> che reagiscono alla proteina </w:t>
      </w:r>
      <w:r>
        <w:rPr>
          <w:spacing w:val="-3"/>
          <w:sz w:val="20"/>
        </w:rPr>
        <w:t xml:space="preserve">del </w:t>
      </w:r>
      <w:r>
        <w:rPr>
          <w:sz w:val="20"/>
        </w:rPr>
        <w:t xml:space="preserve">SARS-CoV-2 nel siero e nel plasma di pazienti che presentano segni e sintomi di infezione con sospetta malattia da coronavirus (COVID-19) ovvero di pazienti che potrebbero aver contratto l’infezione da SARS- CoV-2, seppure in modo asintomatico sono venuti in contatto con il virus recentemente e stanno sviluppando la risposta immunitaria, sono anche potenzialmente contagiosi e possono trasmettere </w:t>
      </w:r>
      <w:r>
        <w:rPr>
          <w:spacing w:val="5"/>
          <w:sz w:val="20"/>
        </w:rPr>
        <w:t xml:space="preserve">il </w:t>
      </w:r>
      <w:r>
        <w:rPr>
          <w:sz w:val="20"/>
        </w:rPr>
        <w:t>virus ad</w:t>
      </w:r>
      <w:r>
        <w:rPr>
          <w:spacing w:val="-25"/>
          <w:sz w:val="20"/>
        </w:rPr>
        <w:t xml:space="preserve"> </w:t>
      </w:r>
      <w:r>
        <w:rPr>
          <w:sz w:val="20"/>
        </w:rPr>
        <w:t>altri.</w:t>
      </w:r>
    </w:p>
    <w:p w14:paraId="25EAE419" w14:textId="77777777" w:rsidR="00050C14" w:rsidRDefault="00050C14">
      <w:pPr>
        <w:spacing w:before="1"/>
        <w:rPr>
          <w:sz w:val="20"/>
        </w:rPr>
      </w:pPr>
    </w:p>
    <w:p w14:paraId="3F3D4EF3" w14:textId="77777777" w:rsidR="00050C14" w:rsidRDefault="001A0926">
      <w:pPr>
        <w:pStyle w:val="Paragrafoelenco"/>
        <w:numPr>
          <w:ilvl w:val="0"/>
          <w:numId w:val="2"/>
        </w:numPr>
        <w:tabs>
          <w:tab w:val="left" w:pos="497"/>
        </w:tabs>
        <w:ind w:right="120" w:firstLine="0"/>
        <w:jc w:val="both"/>
        <w:rPr>
          <w:sz w:val="20"/>
        </w:rPr>
      </w:pPr>
      <w:r>
        <w:rPr>
          <w:sz w:val="20"/>
        </w:rPr>
        <w:t xml:space="preserve">La rilevazione degli anticorpi </w:t>
      </w:r>
      <w:proofErr w:type="spellStart"/>
      <w:r>
        <w:rPr>
          <w:sz w:val="20"/>
        </w:rPr>
        <w:t>IgG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IgM</w:t>
      </w:r>
      <w:proofErr w:type="spellEnd"/>
      <w:r>
        <w:rPr>
          <w:sz w:val="20"/>
        </w:rPr>
        <w:t xml:space="preserve"> permette di identificare gli individui che hanno contratto l’infezione in passato, sono guariti dalla malattia e ne sono verosimilmente diventati immuni (eventualmente con ripetizione del test a distanza di</w:t>
      </w:r>
      <w:r>
        <w:rPr>
          <w:spacing w:val="-2"/>
          <w:sz w:val="20"/>
        </w:rPr>
        <w:t xml:space="preserve"> </w:t>
      </w:r>
      <w:r>
        <w:rPr>
          <w:sz w:val="20"/>
        </w:rPr>
        <w:t>tempo).</w:t>
      </w:r>
    </w:p>
    <w:p w14:paraId="2E0A9F23" w14:textId="77777777" w:rsidR="00050C14" w:rsidRDefault="00050C14">
      <w:pPr>
        <w:spacing w:before="7"/>
        <w:rPr>
          <w:sz w:val="19"/>
        </w:rPr>
      </w:pPr>
    </w:p>
    <w:p w14:paraId="6887D9E7" w14:textId="77777777" w:rsidR="00050C14" w:rsidRDefault="001A0926">
      <w:pPr>
        <w:ind w:left="272"/>
        <w:jc w:val="both"/>
        <w:rPr>
          <w:b/>
          <w:sz w:val="20"/>
        </w:rPr>
      </w:pPr>
      <w:r>
        <w:rPr>
          <w:b/>
          <w:sz w:val="20"/>
        </w:rPr>
        <w:t>Come si esegue</w:t>
      </w:r>
    </w:p>
    <w:p w14:paraId="3EBF6B1A" w14:textId="77777777" w:rsidR="00050C14" w:rsidRDefault="001A0926">
      <w:pPr>
        <w:spacing w:before="2"/>
        <w:ind w:left="272" w:right="112"/>
        <w:jc w:val="both"/>
        <w:rPr>
          <w:sz w:val="20"/>
        </w:rPr>
      </w:pPr>
      <w:r>
        <w:rPr>
          <w:sz w:val="20"/>
        </w:rPr>
        <w:t xml:space="preserve">Il Test sierologico rapido su </w:t>
      </w:r>
      <w:r>
        <w:rPr>
          <w:i/>
          <w:sz w:val="20"/>
        </w:rPr>
        <w:t xml:space="preserve">“card” </w:t>
      </w:r>
      <w:r>
        <w:rPr>
          <w:sz w:val="20"/>
        </w:rPr>
        <w:t xml:space="preserve">viene eseguito su un prelievo di sangue capillare con </w:t>
      </w:r>
      <w:proofErr w:type="spellStart"/>
      <w:r>
        <w:rPr>
          <w:sz w:val="20"/>
        </w:rPr>
        <w:t>pungidito</w:t>
      </w:r>
      <w:proofErr w:type="spellEnd"/>
      <w:r>
        <w:rPr>
          <w:sz w:val="20"/>
        </w:rPr>
        <w:t xml:space="preserve">, effettuato come da norme vigenti e consente di analizzare la componente sierologica del sangue del paziente in cui possono essere contenuti gli anticorpi </w:t>
      </w:r>
      <w:proofErr w:type="spellStart"/>
      <w:r>
        <w:rPr>
          <w:sz w:val="20"/>
        </w:rPr>
        <w:t>IgG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IgM</w:t>
      </w:r>
      <w:proofErr w:type="spellEnd"/>
      <w:r>
        <w:rPr>
          <w:sz w:val="20"/>
        </w:rPr>
        <w:t xml:space="preserve"> anti-SARS-CoV-2.</w:t>
      </w:r>
    </w:p>
    <w:p w14:paraId="507CABC5" w14:textId="77777777" w:rsidR="00050C14" w:rsidRDefault="00050C14">
      <w:pPr>
        <w:spacing w:before="8"/>
        <w:rPr>
          <w:sz w:val="19"/>
        </w:rPr>
      </w:pPr>
    </w:p>
    <w:p w14:paraId="59D690E9" w14:textId="77777777" w:rsidR="00050C14" w:rsidRDefault="001A0926">
      <w:pPr>
        <w:ind w:left="272"/>
        <w:jc w:val="both"/>
        <w:rPr>
          <w:b/>
          <w:sz w:val="20"/>
        </w:rPr>
      </w:pPr>
      <w:r>
        <w:rPr>
          <w:b/>
          <w:sz w:val="20"/>
        </w:rPr>
        <w:t>Possibili risultati del Test</w:t>
      </w:r>
    </w:p>
    <w:p w14:paraId="17822D83" w14:textId="77777777" w:rsidR="00050C14" w:rsidRDefault="001A0926">
      <w:pPr>
        <w:pStyle w:val="Paragrafoelenco"/>
        <w:numPr>
          <w:ilvl w:val="0"/>
          <w:numId w:val="1"/>
        </w:numPr>
        <w:tabs>
          <w:tab w:val="left" w:pos="501"/>
        </w:tabs>
        <w:spacing w:before="7"/>
        <w:ind w:right="119" w:firstLine="0"/>
        <w:rPr>
          <w:sz w:val="20"/>
        </w:rPr>
      </w:pPr>
      <w:r>
        <w:rPr>
          <w:sz w:val="20"/>
        </w:rPr>
        <w:t xml:space="preserve">Risultato NEGATIVO per anticorpi </w:t>
      </w:r>
      <w:proofErr w:type="spellStart"/>
      <w:r>
        <w:rPr>
          <w:sz w:val="20"/>
        </w:rPr>
        <w:t>IgG</w:t>
      </w:r>
      <w:proofErr w:type="spellEnd"/>
      <w:r>
        <w:rPr>
          <w:sz w:val="20"/>
        </w:rPr>
        <w:t xml:space="preserve"> e </w:t>
      </w:r>
      <w:proofErr w:type="spellStart"/>
      <w:proofErr w:type="gramStart"/>
      <w:r>
        <w:rPr>
          <w:sz w:val="20"/>
        </w:rPr>
        <w:t>IgM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assenza di risposta immunitaria (probabile nessun contagio pregresso oppure “periodo</w:t>
      </w:r>
      <w:r>
        <w:rPr>
          <w:spacing w:val="-4"/>
          <w:sz w:val="20"/>
        </w:rPr>
        <w:t xml:space="preserve"> </w:t>
      </w:r>
      <w:r>
        <w:rPr>
          <w:sz w:val="20"/>
        </w:rPr>
        <w:t>finestra”).</w:t>
      </w:r>
    </w:p>
    <w:p w14:paraId="7818BF85" w14:textId="77777777" w:rsidR="00050C14" w:rsidRDefault="00050C14">
      <w:pPr>
        <w:spacing w:before="9"/>
        <w:rPr>
          <w:sz w:val="19"/>
        </w:rPr>
      </w:pPr>
    </w:p>
    <w:p w14:paraId="687855B6" w14:textId="77777777" w:rsidR="00050C14" w:rsidRDefault="001A0926">
      <w:pPr>
        <w:pStyle w:val="Paragrafoelenco"/>
        <w:numPr>
          <w:ilvl w:val="0"/>
          <w:numId w:val="1"/>
        </w:numPr>
        <w:tabs>
          <w:tab w:val="left" w:pos="497"/>
        </w:tabs>
        <w:ind w:left="496" w:hanging="225"/>
        <w:rPr>
          <w:sz w:val="20"/>
        </w:rPr>
      </w:pPr>
      <w:r>
        <w:rPr>
          <w:sz w:val="20"/>
        </w:rPr>
        <w:t xml:space="preserve">Risultato POSITIVO per anticorpi </w:t>
      </w:r>
      <w:proofErr w:type="spellStart"/>
      <w:r>
        <w:rPr>
          <w:sz w:val="20"/>
        </w:rPr>
        <w:t>IgG</w:t>
      </w:r>
      <w:proofErr w:type="spellEnd"/>
      <w:r>
        <w:rPr>
          <w:sz w:val="20"/>
        </w:rPr>
        <w:t>: probabile contagio pregresso (possibile</w:t>
      </w:r>
      <w:r>
        <w:rPr>
          <w:spacing w:val="-13"/>
          <w:sz w:val="20"/>
        </w:rPr>
        <w:t xml:space="preserve"> </w:t>
      </w:r>
      <w:r>
        <w:rPr>
          <w:sz w:val="20"/>
        </w:rPr>
        <w:t>protezione).</w:t>
      </w:r>
    </w:p>
    <w:p w14:paraId="6B7D25D2" w14:textId="77777777" w:rsidR="00050C14" w:rsidRDefault="00050C14">
      <w:pPr>
        <w:rPr>
          <w:sz w:val="20"/>
        </w:rPr>
      </w:pPr>
    </w:p>
    <w:p w14:paraId="3B20C90C" w14:textId="77777777" w:rsidR="00050C14" w:rsidRDefault="001A0926">
      <w:pPr>
        <w:pStyle w:val="Paragrafoelenco"/>
        <w:numPr>
          <w:ilvl w:val="0"/>
          <w:numId w:val="1"/>
        </w:numPr>
        <w:tabs>
          <w:tab w:val="left" w:pos="497"/>
        </w:tabs>
        <w:ind w:left="496" w:hanging="225"/>
        <w:rPr>
          <w:sz w:val="20"/>
        </w:rPr>
      </w:pPr>
      <w:r>
        <w:rPr>
          <w:sz w:val="20"/>
        </w:rPr>
        <w:t xml:space="preserve">Risultato POSITIVO per anticorpi </w:t>
      </w:r>
      <w:proofErr w:type="spellStart"/>
      <w:r>
        <w:rPr>
          <w:sz w:val="20"/>
        </w:rPr>
        <w:t>IgM</w:t>
      </w:r>
      <w:proofErr w:type="spellEnd"/>
      <w:r>
        <w:rPr>
          <w:sz w:val="20"/>
        </w:rPr>
        <w:t>: probabile contagio recente/in corso</w:t>
      </w:r>
      <w:r>
        <w:rPr>
          <w:spacing w:val="-6"/>
          <w:sz w:val="20"/>
        </w:rPr>
        <w:t xml:space="preserve"> </w:t>
      </w:r>
      <w:r>
        <w:rPr>
          <w:sz w:val="20"/>
        </w:rPr>
        <w:t>d’infezione.</w:t>
      </w:r>
    </w:p>
    <w:p w14:paraId="73CDB097" w14:textId="77777777" w:rsidR="00050C14" w:rsidRDefault="00050C14">
      <w:pPr>
        <w:rPr>
          <w:sz w:val="20"/>
        </w:rPr>
      </w:pPr>
    </w:p>
    <w:p w14:paraId="34FC8BE4" w14:textId="77777777" w:rsidR="00050C14" w:rsidRDefault="001A0926">
      <w:pPr>
        <w:spacing w:line="242" w:lineRule="auto"/>
        <w:ind w:left="272" w:right="115"/>
        <w:jc w:val="both"/>
        <w:rPr>
          <w:sz w:val="20"/>
        </w:rPr>
      </w:pPr>
      <w:r>
        <w:rPr>
          <w:sz w:val="20"/>
        </w:rPr>
        <w:t xml:space="preserve">I risultati positivi andranno comunque confermati con tampone </w:t>
      </w:r>
      <w:proofErr w:type="spellStart"/>
      <w:r>
        <w:rPr>
          <w:sz w:val="20"/>
        </w:rPr>
        <w:t>rino-farinego</w:t>
      </w:r>
      <w:proofErr w:type="spellEnd"/>
      <w:r>
        <w:rPr>
          <w:sz w:val="20"/>
        </w:rPr>
        <w:t>, per l’esecuzione del test diagnostico in molecolare RT-PCR.</w:t>
      </w:r>
    </w:p>
    <w:p w14:paraId="578F6731" w14:textId="77777777" w:rsidR="00050C14" w:rsidRDefault="001A0926">
      <w:pPr>
        <w:spacing w:line="242" w:lineRule="auto"/>
        <w:ind w:left="272" w:right="126"/>
        <w:jc w:val="both"/>
        <w:rPr>
          <w:sz w:val="20"/>
        </w:rPr>
      </w:pPr>
      <w:r>
        <w:rPr>
          <w:sz w:val="20"/>
        </w:rPr>
        <w:t xml:space="preserve">In caso di risultato POSITIVO, il paziente dovrà sottoporsi autonomamente alla misura dell’isolamento domiciliare fiduciario e sottoporsi quanto prima al tampone </w:t>
      </w:r>
      <w:proofErr w:type="spellStart"/>
      <w:r>
        <w:rPr>
          <w:sz w:val="20"/>
        </w:rPr>
        <w:t>rino</w:t>
      </w:r>
      <w:proofErr w:type="spellEnd"/>
      <w:r>
        <w:rPr>
          <w:sz w:val="20"/>
        </w:rPr>
        <w:t>-faringeo per la ricerca dell’RNA virale.</w:t>
      </w:r>
    </w:p>
    <w:p w14:paraId="3376B9F0" w14:textId="77777777" w:rsidR="00050C14" w:rsidRDefault="00050C14">
      <w:pPr>
        <w:rPr>
          <w:sz w:val="20"/>
        </w:rPr>
      </w:pPr>
    </w:p>
    <w:p w14:paraId="6CC7FEAE" w14:textId="77777777" w:rsidR="00050C14" w:rsidRDefault="00050C14">
      <w:pPr>
        <w:rPr>
          <w:sz w:val="20"/>
        </w:rPr>
      </w:pPr>
    </w:p>
    <w:p w14:paraId="4F8258E3" w14:textId="77777777" w:rsidR="00050C14" w:rsidRDefault="00050C14">
      <w:pPr>
        <w:rPr>
          <w:sz w:val="20"/>
        </w:rPr>
      </w:pPr>
    </w:p>
    <w:p w14:paraId="06AF8BC7" w14:textId="40C0DEAC" w:rsidR="00050C14" w:rsidRDefault="00050C14" w:rsidP="00236C38">
      <w:pPr>
        <w:pStyle w:val="Corpotesto"/>
        <w:spacing w:before="100"/>
        <w:ind w:right="115"/>
        <w:rPr>
          <w:rFonts w:ascii="Tahoma"/>
        </w:rPr>
      </w:pPr>
    </w:p>
    <w:sectPr w:rsidR="00050C14">
      <w:headerReference w:type="default" r:id="rId7"/>
      <w:pgSz w:w="11910" w:h="16840"/>
      <w:pgMar w:top="1620" w:right="1020" w:bottom="280" w:left="860" w:header="10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40998" w14:textId="77777777" w:rsidR="00C25B51" w:rsidRDefault="00C25B51">
      <w:r>
        <w:separator/>
      </w:r>
    </w:p>
  </w:endnote>
  <w:endnote w:type="continuationSeparator" w:id="0">
    <w:p w14:paraId="3CC3683B" w14:textId="77777777" w:rsidR="00C25B51" w:rsidRDefault="00C2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7B15E" w14:textId="77777777" w:rsidR="00C25B51" w:rsidRDefault="00C25B51">
      <w:r>
        <w:separator/>
      </w:r>
    </w:p>
  </w:footnote>
  <w:footnote w:type="continuationSeparator" w:id="0">
    <w:p w14:paraId="5347084E" w14:textId="77777777" w:rsidR="00C25B51" w:rsidRDefault="00C25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31472" w14:textId="44EEE1F6" w:rsidR="00050C14" w:rsidRDefault="00050C1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1716D"/>
    <w:multiLevelType w:val="hybridMultilevel"/>
    <w:tmpl w:val="4B9E4F5A"/>
    <w:lvl w:ilvl="0" w:tplc="A0FC809E">
      <w:start w:val="1"/>
      <w:numFmt w:val="decimal"/>
      <w:lvlText w:val="%1."/>
      <w:lvlJc w:val="left"/>
      <w:pPr>
        <w:ind w:left="272" w:hanging="169"/>
        <w:jc w:val="left"/>
      </w:pPr>
      <w:rPr>
        <w:rFonts w:ascii="Arial" w:eastAsia="Arial" w:hAnsi="Arial" w:cs="Arial" w:hint="default"/>
        <w:spacing w:val="-27"/>
        <w:w w:val="99"/>
        <w:sz w:val="18"/>
        <w:szCs w:val="18"/>
        <w:lang w:val="it-IT" w:eastAsia="it-IT" w:bidi="it-IT"/>
      </w:rPr>
    </w:lvl>
    <w:lvl w:ilvl="1" w:tplc="9F68FA0A">
      <w:numFmt w:val="bullet"/>
      <w:lvlText w:val="•"/>
      <w:lvlJc w:val="left"/>
      <w:pPr>
        <w:ind w:left="1254" w:hanging="169"/>
      </w:pPr>
      <w:rPr>
        <w:rFonts w:hint="default"/>
        <w:lang w:val="it-IT" w:eastAsia="it-IT" w:bidi="it-IT"/>
      </w:rPr>
    </w:lvl>
    <w:lvl w:ilvl="2" w:tplc="05F2730C">
      <w:numFmt w:val="bullet"/>
      <w:lvlText w:val="•"/>
      <w:lvlJc w:val="left"/>
      <w:pPr>
        <w:ind w:left="2229" w:hanging="169"/>
      </w:pPr>
      <w:rPr>
        <w:rFonts w:hint="default"/>
        <w:lang w:val="it-IT" w:eastAsia="it-IT" w:bidi="it-IT"/>
      </w:rPr>
    </w:lvl>
    <w:lvl w:ilvl="3" w:tplc="339AE250">
      <w:numFmt w:val="bullet"/>
      <w:lvlText w:val="•"/>
      <w:lvlJc w:val="left"/>
      <w:pPr>
        <w:ind w:left="3204" w:hanging="169"/>
      </w:pPr>
      <w:rPr>
        <w:rFonts w:hint="default"/>
        <w:lang w:val="it-IT" w:eastAsia="it-IT" w:bidi="it-IT"/>
      </w:rPr>
    </w:lvl>
    <w:lvl w:ilvl="4" w:tplc="C55E1D3E">
      <w:numFmt w:val="bullet"/>
      <w:lvlText w:val="•"/>
      <w:lvlJc w:val="left"/>
      <w:pPr>
        <w:ind w:left="4179" w:hanging="169"/>
      </w:pPr>
      <w:rPr>
        <w:rFonts w:hint="default"/>
        <w:lang w:val="it-IT" w:eastAsia="it-IT" w:bidi="it-IT"/>
      </w:rPr>
    </w:lvl>
    <w:lvl w:ilvl="5" w:tplc="30B88DC4">
      <w:numFmt w:val="bullet"/>
      <w:lvlText w:val="•"/>
      <w:lvlJc w:val="left"/>
      <w:pPr>
        <w:ind w:left="5154" w:hanging="169"/>
      </w:pPr>
      <w:rPr>
        <w:rFonts w:hint="default"/>
        <w:lang w:val="it-IT" w:eastAsia="it-IT" w:bidi="it-IT"/>
      </w:rPr>
    </w:lvl>
    <w:lvl w:ilvl="6" w:tplc="3D7ADF7A">
      <w:numFmt w:val="bullet"/>
      <w:lvlText w:val="•"/>
      <w:lvlJc w:val="left"/>
      <w:pPr>
        <w:ind w:left="6128" w:hanging="169"/>
      </w:pPr>
      <w:rPr>
        <w:rFonts w:hint="default"/>
        <w:lang w:val="it-IT" w:eastAsia="it-IT" w:bidi="it-IT"/>
      </w:rPr>
    </w:lvl>
    <w:lvl w:ilvl="7" w:tplc="0C8A8A68">
      <w:numFmt w:val="bullet"/>
      <w:lvlText w:val="•"/>
      <w:lvlJc w:val="left"/>
      <w:pPr>
        <w:ind w:left="7103" w:hanging="169"/>
      </w:pPr>
      <w:rPr>
        <w:rFonts w:hint="default"/>
        <w:lang w:val="it-IT" w:eastAsia="it-IT" w:bidi="it-IT"/>
      </w:rPr>
    </w:lvl>
    <w:lvl w:ilvl="8" w:tplc="4F68BDBE">
      <w:numFmt w:val="bullet"/>
      <w:lvlText w:val="•"/>
      <w:lvlJc w:val="left"/>
      <w:pPr>
        <w:ind w:left="8078" w:hanging="169"/>
      </w:pPr>
      <w:rPr>
        <w:rFonts w:hint="default"/>
        <w:lang w:val="it-IT" w:eastAsia="it-IT" w:bidi="it-IT"/>
      </w:rPr>
    </w:lvl>
  </w:abstractNum>
  <w:abstractNum w:abstractNumId="1" w15:restartNumberingAfterBreak="0">
    <w:nsid w:val="1FEA0555"/>
    <w:multiLevelType w:val="hybridMultilevel"/>
    <w:tmpl w:val="9046304C"/>
    <w:lvl w:ilvl="0" w:tplc="1D362136">
      <w:start w:val="1"/>
      <w:numFmt w:val="decimal"/>
      <w:lvlText w:val="%1."/>
      <w:lvlJc w:val="left"/>
      <w:pPr>
        <w:ind w:left="272" w:hanging="228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C303B72">
      <w:numFmt w:val="bullet"/>
      <w:lvlText w:val="•"/>
      <w:lvlJc w:val="left"/>
      <w:pPr>
        <w:ind w:left="1254" w:hanging="228"/>
      </w:pPr>
      <w:rPr>
        <w:rFonts w:hint="default"/>
        <w:lang w:val="it-IT" w:eastAsia="it-IT" w:bidi="it-IT"/>
      </w:rPr>
    </w:lvl>
    <w:lvl w:ilvl="2" w:tplc="0CFA1DA6">
      <w:numFmt w:val="bullet"/>
      <w:lvlText w:val="•"/>
      <w:lvlJc w:val="left"/>
      <w:pPr>
        <w:ind w:left="2229" w:hanging="228"/>
      </w:pPr>
      <w:rPr>
        <w:rFonts w:hint="default"/>
        <w:lang w:val="it-IT" w:eastAsia="it-IT" w:bidi="it-IT"/>
      </w:rPr>
    </w:lvl>
    <w:lvl w:ilvl="3" w:tplc="AA38C07A">
      <w:numFmt w:val="bullet"/>
      <w:lvlText w:val="•"/>
      <w:lvlJc w:val="left"/>
      <w:pPr>
        <w:ind w:left="3204" w:hanging="228"/>
      </w:pPr>
      <w:rPr>
        <w:rFonts w:hint="default"/>
        <w:lang w:val="it-IT" w:eastAsia="it-IT" w:bidi="it-IT"/>
      </w:rPr>
    </w:lvl>
    <w:lvl w:ilvl="4" w:tplc="9B404CBA">
      <w:numFmt w:val="bullet"/>
      <w:lvlText w:val="•"/>
      <w:lvlJc w:val="left"/>
      <w:pPr>
        <w:ind w:left="4179" w:hanging="228"/>
      </w:pPr>
      <w:rPr>
        <w:rFonts w:hint="default"/>
        <w:lang w:val="it-IT" w:eastAsia="it-IT" w:bidi="it-IT"/>
      </w:rPr>
    </w:lvl>
    <w:lvl w:ilvl="5" w:tplc="E17ABBDE">
      <w:numFmt w:val="bullet"/>
      <w:lvlText w:val="•"/>
      <w:lvlJc w:val="left"/>
      <w:pPr>
        <w:ind w:left="5154" w:hanging="228"/>
      </w:pPr>
      <w:rPr>
        <w:rFonts w:hint="default"/>
        <w:lang w:val="it-IT" w:eastAsia="it-IT" w:bidi="it-IT"/>
      </w:rPr>
    </w:lvl>
    <w:lvl w:ilvl="6" w:tplc="DB84EA40">
      <w:numFmt w:val="bullet"/>
      <w:lvlText w:val="•"/>
      <w:lvlJc w:val="left"/>
      <w:pPr>
        <w:ind w:left="6128" w:hanging="228"/>
      </w:pPr>
      <w:rPr>
        <w:rFonts w:hint="default"/>
        <w:lang w:val="it-IT" w:eastAsia="it-IT" w:bidi="it-IT"/>
      </w:rPr>
    </w:lvl>
    <w:lvl w:ilvl="7" w:tplc="34D05D3C">
      <w:numFmt w:val="bullet"/>
      <w:lvlText w:val="•"/>
      <w:lvlJc w:val="left"/>
      <w:pPr>
        <w:ind w:left="7103" w:hanging="228"/>
      </w:pPr>
      <w:rPr>
        <w:rFonts w:hint="default"/>
        <w:lang w:val="it-IT" w:eastAsia="it-IT" w:bidi="it-IT"/>
      </w:rPr>
    </w:lvl>
    <w:lvl w:ilvl="8" w:tplc="4FE2E748">
      <w:numFmt w:val="bullet"/>
      <w:lvlText w:val="•"/>
      <w:lvlJc w:val="left"/>
      <w:pPr>
        <w:ind w:left="8078" w:hanging="22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14"/>
    <w:rsid w:val="00050C14"/>
    <w:rsid w:val="001506D8"/>
    <w:rsid w:val="001A0926"/>
    <w:rsid w:val="00236C38"/>
    <w:rsid w:val="00AD7162"/>
    <w:rsid w:val="00C25B51"/>
    <w:rsid w:val="00D332C8"/>
    <w:rsid w:val="00DC059E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89827"/>
  <w15:docId w15:val="{CF340373-BC7A-4525-8DBB-A8678958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7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32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2C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332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2C8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Capo Distretto di Barcellona Pozzo di gotto</dc:title>
  <dc:creator>USER</dc:creator>
  <cp:lastModifiedBy>DSGA</cp:lastModifiedBy>
  <cp:revision>2</cp:revision>
  <dcterms:created xsi:type="dcterms:W3CDTF">2020-09-01T09:34:00Z</dcterms:created>
  <dcterms:modified xsi:type="dcterms:W3CDTF">2020-09-01T09:34:00Z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2020-08-27T00:00:00Z</vt:filetime>
  </property>
</Properties>
</file>